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3229610" cy="9340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39" r="-14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tabs>
          <w:tab w:val="left" w:pos="9480" w:leader="none"/>
        </w:tabs>
        <w:spacing w:lineRule="auto" w:line="240"/>
        <w:rPr/>
      </w:pPr>
      <w:r>
        <w:rPr/>
        <w:t xml:space="preserve">                                                                                          </w:t>
      </w:r>
      <w:bookmarkStart w:id="0" w:name="__DdeLink__15857_2292001160"/>
      <w:r>
        <w:rPr>
          <w:color w:val="1C1C1C"/>
          <w:sz w:val="28"/>
          <w:szCs w:val="28"/>
          <w:highlight w:val="white"/>
        </w:rPr>
        <w:t>Утверждаю</w:t>
      </w:r>
    </w:p>
    <w:p>
      <w:pPr>
        <w:pStyle w:val="Normal"/>
        <w:spacing w:lineRule="auto" w:line="240"/>
        <w:rPr/>
      </w:pPr>
      <w:r>
        <w:rPr>
          <w:color w:val="1C1C1C"/>
          <w:sz w:val="28"/>
          <w:szCs w:val="28"/>
          <w:highlight w:val="white"/>
        </w:rPr>
        <w:t xml:space="preserve">                                                                     </w:t>
      </w:r>
      <w:r>
        <w:rPr>
          <w:color w:val="1C1C1C"/>
          <w:sz w:val="28"/>
          <w:szCs w:val="28"/>
          <w:highlight w:val="white"/>
        </w:rPr>
        <w:t>Директор________Г.Е.Сухова</w:t>
      </w:r>
    </w:p>
    <w:p>
      <w:pPr>
        <w:pStyle w:val="Normal"/>
        <w:spacing w:lineRule="auto" w:line="240"/>
        <w:rPr/>
      </w:pPr>
      <w:r>
        <w:rPr>
          <w:color w:val="1C1C1C"/>
          <w:sz w:val="28"/>
          <w:szCs w:val="28"/>
          <w:highlight w:val="white"/>
        </w:rPr>
        <w:t xml:space="preserve">                                                                       </w:t>
      </w:r>
      <w:r>
        <w:rPr>
          <w:color w:val="1C1C1C"/>
          <w:sz w:val="28"/>
          <w:szCs w:val="28"/>
          <w:highlight w:val="white"/>
        </w:rPr>
        <w:t xml:space="preserve">01 </w:t>
      </w:r>
      <w:bookmarkEnd w:id="0"/>
      <w:r>
        <w:rPr>
          <w:color w:val="1C1C1C"/>
          <w:sz w:val="28"/>
          <w:szCs w:val="28"/>
          <w:highlight w:val="white"/>
        </w:rPr>
        <w:t>февраля 2020 года</w:t>
      </w:r>
    </w:p>
    <w:p>
      <w:pPr>
        <w:pStyle w:val="Normal"/>
        <w:jc w:val="center"/>
        <w:rPr>
          <w:color w:val="1C1C1C"/>
          <w:highlight w:val="white"/>
        </w:rPr>
      </w:pPr>
      <w:r>
        <w:rPr>
          <w:b/>
          <w:bCs/>
          <w:color w:val="1C1C1C"/>
          <w:sz w:val="32"/>
          <w:szCs w:val="32"/>
          <w:highlight w:val="white"/>
        </w:rPr>
        <w:t>Прейскурант ООО «Поликлиника доктора Парамонова»</w:t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Амбулаторно-поликлиническая помощь</w:t>
      </w:r>
    </w:p>
    <w:p>
      <w:pPr>
        <w:pStyle w:val="Normal"/>
        <w:jc w:val="center"/>
        <w:rPr/>
      </w:pPr>
      <w:r>
        <w:rPr>
          <w:b/>
          <w:bCs/>
          <w:sz w:val="32"/>
          <w:szCs w:val="32"/>
        </w:rPr>
        <w:t>Лечебно-диагностические мероприятия</w:t>
      </w:r>
    </w:p>
    <w:tbl>
      <w:tblPr>
        <w:tblW w:w="10665" w:type="dxa"/>
        <w:jc w:val="left"/>
        <w:tblInd w:w="-24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55" w:type="dxa"/>
        </w:tblCellMar>
        <w:tblLook w:firstRow="0" w:noVBand="0" w:lastRow="0" w:firstColumn="0" w:lastColumn="0" w:noHBand="0" w:val="0000"/>
      </w:tblPr>
      <w:tblGrid>
        <w:gridCol w:w="1305"/>
        <w:gridCol w:w="8714"/>
        <w:gridCol w:w="646"/>
      </w:tblGrid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Код услуги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Наименование медицинской услуги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Цена руб.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 xml:space="preserve">Консультация специалиста (первичный прием врача)                                                                                                        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</w:rPr>
              <w:t xml:space="preserve">  </w:t>
            </w: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Повторная консультация специалиста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прием врача-гастроэнтеролога (Саратов)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врач-гастроэнтеролога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Х-01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Перевязки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НС 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врача-невролога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НС 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врача-невролога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врача-уролога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 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врача-уролога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</w:t>
            </w:r>
            <w:bookmarkStart w:id="1" w:name="__DdeLink__6083_59739375"/>
            <w:bookmarkEnd w:id="1"/>
            <w:r>
              <w:rPr>
                <w:rFonts w:ascii="Times New Roman" w:hAnsi="Times New Roman"/>
              </w:rPr>
              <w:t>прием врача-гинеколога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врача-гинеколога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40016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врача-гастроэнтеролога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40017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гастроэнтеролога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лс-1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врача-оториноларинголога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лс-2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врача-оториноларинголога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ЛС 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врача-оториноларинголога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ЛС 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врача-оториноларинголога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КС 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врача-кардиолога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КС 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врача-кардиолога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ус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врача-уролога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ус-3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врача-уролога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ЭС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врача-эндокринолога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ЭС2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врача-эндокринолога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 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прием врача-офтальмолога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 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Повторный прием врача-офтальмолога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да-1256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врача-сосудистого хирурга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да-1257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врача-сосудистого хирурга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40021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Первичный прием профессора, врача хирурга-онколога высшей категории Парамонова В.А.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1000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Повторный прием профессора, врача хирурга-онколога высшей категории Парамонова В.А.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дн-1358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</w:t>
            </w:r>
            <w:bookmarkStart w:id="2" w:name="__DdeLink__5981_2998915940"/>
            <w:r>
              <w:rPr>
                <w:rFonts w:ascii="Times New Roman" w:hAnsi="Times New Roman"/>
              </w:rPr>
              <w:t xml:space="preserve"> врача-хирурга Давыдова Д.Н., доцент ЕАЕН</w:t>
            </w:r>
            <w:bookmarkEnd w:id="2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дн-1359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Повторный прием  врача-хирурга Давыдова Д.Н., доцент ЕАЕН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п-5241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врача-проктолога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п-5242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Вторичный прием врача-проктолога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Инъекции (в/м, п/к без стоимости препаратов)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  <w:tr>
        <w:trPr>
          <w:trHeight w:val="33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113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113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Внутривенные инфузии (без стоимости препаратов)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Инъекции (в/в без стоимости препаратов)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Консультация на дому (при наличии транспорта у больного</w:t>
            </w:r>
            <w:bookmarkStart w:id="3" w:name="__DdeLink__4805_2892950002"/>
            <w:r>
              <w:rPr>
                <w:rFonts w:cs="Times New Roman CYR" w:ascii="Times New Roman CYR" w:hAnsi="Times New Roman CYR"/>
              </w:rPr>
              <w:t xml:space="preserve">, </w:t>
            </w:r>
            <w:bookmarkEnd w:id="3"/>
            <w:r>
              <w:rPr>
                <w:rFonts w:cs="Times New Roman CYR" w:ascii="Times New Roman CYR" w:hAnsi="Times New Roman CYR"/>
              </w:rPr>
              <w:t>в пределах г.Камышина)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020210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Консультация на дому (транспорт клиники, в пределах г.Камышина)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800002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Забор крови на дому (транспорт клиники, в пределах г.Камышина)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cs="Calibri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Забор крови на дому  (при наличии транспорта у больного, в пределах г.Камышин)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yellow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Инструментальные методы исследования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bookmarkStart w:id="4" w:name="__DdeLink__5311_2861163039"/>
            <w:r>
              <w:rPr>
                <w:rFonts w:cs="Times New Roman" w:ascii="Times New Roman" w:hAnsi="Times New Roman"/>
                <w:lang w:val="en-US"/>
              </w:rPr>
              <w:t>00001-</w:t>
            </w:r>
            <w:bookmarkEnd w:id="4"/>
            <w:r>
              <w:rPr>
                <w:rFonts w:cs="Times New Roman" w:ascii="Times New Roman" w:hAnsi="Times New Roman"/>
                <w:lang w:val="ru-RU"/>
              </w:rPr>
              <w:t>э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 с нагрузкой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450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00-12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органов брюшной полости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750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уп-4216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УЗИ с определением функции желчного пузыря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000002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 на дому (транспорт клиники, в пределах г.Камышин)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1025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органов малого таза (трансвагинальный датчик)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щитовидной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650</w:t>
            </w:r>
          </w:p>
        </w:tc>
      </w:tr>
      <w:tr>
        <w:trPr>
          <w:trHeight w:val="24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мочевого пузыря (с измерением количества остаточной мочи)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молочных желез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молочных желез, регионарных лимфатических узлов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950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предстательной железы и мочевого пузыря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950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сердца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1250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 xml:space="preserve">УЗИ органов мошонки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600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коленного сустава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лучезапястного, голеностопного суставов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локтевого, плечевого, тазобедренного, суставов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шеи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д-5561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Допплер сосудов головы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печени, селезенки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почек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 сосудов головы и шеи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Дополнительное допплеровское исследование к УЗИ щитовидной железы, мошонки, ТРУЗИ, УЗИ в гинекологии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 первом триместре беременности (до 10 недель)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без доплера (один плод)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без доплера (более одного плода)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1150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с доплером (один плод)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1250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с доплером (более одного плода)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нижних конечностей (одна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нижних конечностей (одна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нижних конечностей (две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00037.1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нижних конечностей (две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color w:val="000000"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нижних конечностей (исследование вен и артерий, 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нижних конечностей (исследование артерий и вен, 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Calibri"/>
                <w:b/>
                <w:color w:val="000000"/>
                <w:highlight w:val="white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00035-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верхних конечностей (одна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00036-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верхних  конечностей (одна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00037-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верхних  конечностей (две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00037.1-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верхних  конечностей (две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00038</w:t>
            </w:r>
            <w:r>
              <w:rPr>
                <w:rFonts w:cs="Times New Roman" w:ascii="Times New Roman" w:hAnsi="Times New Roman"/>
                <w:lang w:val="ru-RU"/>
              </w:rPr>
              <w:t>-у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верхних  конечностей (исследование вен и артерий, 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00040-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верхних  конечностей (исследование артерий и вен, 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брюшной аорты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Calibri"/>
                <w:b/>
                <w:color w:val="000000"/>
                <w:highlight w:val="white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ru-RU"/>
              </w:rPr>
              <w:t>000</w:t>
            </w:r>
            <w:r>
              <w:rPr>
                <w:rFonts w:cs="Times New Roman" w:ascii="Times New Roman" w:hAnsi="Times New Roman"/>
                <w:lang w:val="en-US"/>
              </w:rPr>
              <w:t>42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Трансректальное УЗИ предстательной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Фото исследования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лимфатических узлов (одна группа)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00045.</w:t>
            </w:r>
            <w:r>
              <w:rPr>
                <w:lang w:val="ru-RU"/>
              </w:rPr>
              <w:t>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УЗИ </w:t>
            </w:r>
            <w:r>
              <w:rPr>
                <w:rFonts w:ascii="Times New Roman" w:hAnsi="Times New Roman"/>
              </w:rPr>
              <w:t>слюнных желез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а00001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мягких тканей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брюшного отдела аорты с бифуркацией, подвздошными сосудами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мезентериальных сосудов (чревный ствол, верхняя и нижняя брызжеечные артерии)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2026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при пункционной биопсии щитовидной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  <w:t>2026.1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при пункционной биопсии молочной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почек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э-4526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Электроэнцефолография (ЭЭГ)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 CYR"/>
                <w:b/>
                <w:b/>
                <w:bCs/>
              </w:rPr>
            </w:pPr>
            <w:r>
              <w:rPr>
                <w:rFonts w:cs="Times New Roman CYR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" w:hAnsi="Times New Roman"/>
                <w:b/>
                <w:bCs/>
              </w:rPr>
              <w:t>Компьютерная томография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" w:hAnsi="Times New Roman"/>
              </w:rPr>
              <w:t>КТ 00074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" w:hAnsi="Times New Roman"/>
              </w:rPr>
              <w:t>Головной мозг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00110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Calibri" w:ascii="Times New Roman" w:hAnsi="Times New Roman"/>
                <w:lang w:val="ru-RU"/>
              </w:rPr>
              <w:t>Головной мозг, кости свода и основания черепа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3200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</w:rPr>
              <w:t>КТ 06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Calibri" w:ascii="Times New Roman" w:hAnsi="Times New Roman"/>
                <w:lang w:val="ru-RU"/>
              </w:rPr>
              <w:t>Кости черепа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00076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Придаточные пазухи носа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00111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</w:rPr>
              <w:t>Пирамиды височных костей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00086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Глазные орбиты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00078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Мягкие ткани шеи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Слюнные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00107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Шейный отдел позвоночника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056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</w:rPr>
              <w:t>Грудной отдел позвоночника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00104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</w:rPr>
              <w:t>Поясничный отдел позвоночника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Крестец и копчик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00080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грудной клетки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</w:t>
            </w: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00081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брюшной полости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2250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00071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забрюшинного пространства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00108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мочевыделительной системы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00109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en-US"/>
              </w:rPr>
              <w:t xml:space="preserve">Органы брюшной полости </w:t>
            </w:r>
            <w:r>
              <w:rPr>
                <w:rFonts w:cs="Times New Roman CYR" w:ascii="Times New Roman" w:hAnsi="Times New Roman"/>
                <w:lang w:val="ru-RU"/>
              </w:rPr>
              <w:t>и забрюшинного пространства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00077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малого таза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00091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голени и мягких тканей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00092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Височно-нижнечелюстной сустав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00093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Плечевые суставы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01110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Локтевые суставы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01111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Лучезапястные суставы и кисти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00094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</w:rPr>
              <w:t>Тазобедренные суставы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01112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  <w:lang w:val="en-US"/>
              </w:rPr>
              <w:t xml:space="preserve">Тазобедренные суставы </w:t>
            </w:r>
            <w:r>
              <w:rPr>
                <w:rFonts w:cs="Calibri"/>
                <w:lang w:val="ru-RU"/>
              </w:rPr>
              <w:t>и кости таза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2700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00096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cs="Times New Roman CYR" w:ascii="Times New Roman" w:hAnsi="Times New Roman"/>
                <w:highlight w:val="white"/>
              </w:rPr>
              <w:t>Коленные суставы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38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КТ 00095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Голеностопные суставы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00093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плеча и мягкие ткани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КТ 00090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предплечья и мягкие ткани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КТ 01114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бедра и мягкие ткани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КТ 00063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Запись исследования на диск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КТ 006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Выдача повторного снимка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КТ 05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Выдача повторного заключения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highlight w:val="white"/>
              </w:rPr>
              <w:t>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Эндоскопия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Видеоэзофагогастродуоденоскопия (ВЭГДС) диагностическая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Э03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Видеоларингоскопия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Видеоколоноскопия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Ректоскопия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С</w:t>
            </w:r>
            <w:r>
              <w:rPr>
                <w:rFonts w:cs="Times New Roman CYR" w:ascii="Times New Roman CYR" w:hAnsi="Times New Roman CYR"/>
              </w:rPr>
              <w:t>игмоскопия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при видеоЭГДС и видеоколоноскопии на цитологию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полиповидных образований при ВЭГДС и видеоколоноскопии на гистологическое исследование (1-2 фрагмента)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при ВЭГДС и видеоколоноскопии при опухолевидных образованиях на гистологическое исследование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  <w:lang w:val="en-US"/>
              </w:rPr>
              <w:t xml:space="preserve">(4-6 </w:t>
            </w:r>
            <w:r>
              <w:rPr>
                <w:rFonts w:cs="Times New Roman CYR" w:ascii="Times New Roman CYR" w:hAnsi="Times New Roman CYR"/>
              </w:rPr>
              <w:t xml:space="preserve">фрагментов)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right="-1191" w:hanging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инородных тел пищевода, желудка и кишечника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Э019 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Удаление* полипов пищевода, желудка, кишечника размерами менее 1см (1 единица) методом петлевой электроэксцизии (с предоперационным лабораторным обследованием и гистологическим исследованием биоматериала, с пребыванием в дневном стационаре)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4450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Э020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Удаление полипа методом («горячая биопсия») (1 единица)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Э025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Внутримышечное введение гемостатического лекарственного препарата (после удаления полипа)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Э026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Внутримышечное введение церукала (после удаления полипа пищевода, желудка)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" w:ascii="Times New Roman" w:hAnsi="Times New Roman"/>
              </w:rPr>
              <w:t xml:space="preserve">* </w:t>
            </w:r>
            <w:r>
              <w:rPr>
                <w:rFonts w:cs="Times New Roman CYR" w:ascii="Times New Roman CYR" w:hAnsi="Times New Roman CYR"/>
              </w:rPr>
              <w:t xml:space="preserve">Эндоскопическое удаление полипа, как правило, сопровождается предварительным созданием </w:t>
            </w:r>
            <w:r>
              <w:rPr>
                <w:rFonts w:cs="Times New Roman" w:ascii="Times New Roman" w:hAnsi="Times New Roman"/>
              </w:rPr>
              <w:t>«</w:t>
            </w:r>
            <w:r>
              <w:rPr>
                <w:rFonts w:cs="Times New Roman CYR" w:ascii="Times New Roman CYR" w:hAnsi="Times New Roman CYR"/>
              </w:rPr>
              <w:t>подслизистой подушки</w:t>
            </w:r>
            <w:r>
              <w:rPr>
                <w:rFonts w:cs="Times New Roman" w:ascii="Times New Roman" w:hAnsi="Times New Roman"/>
              </w:rPr>
              <w:t xml:space="preserve">» </w:t>
            </w:r>
            <w:r>
              <w:rPr>
                <w:rFonts w:cs="Times New Roman CYR" w:ascii="Times New Roman CYR" w:hAnsi="Times New Roman CYR"/>
              </w:rPr>
              <w:t>и последующим эндогемостазом (моно- или комбинированным, с целью остановки кровотечения или превентивной целью), внутримышечным введением гемостатика (дицинона) и прокинетика (церукала) – соответственно стоимость увеличивается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bookmarkStart w:id="5" w:name="__DdeLink__6222_2735335324"/>
            <w:bookmarkEnd w:id="5"/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отоларингология</w:t>
            </w:r>
          </w:p>
        </w:tc>
      </w:tr>
      <w:tr>
        <w:trPr>
          <w:trHeight w:val="34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Пункция гайморовой пазухи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Пункция в/челюстной пазухи с промыванием антисептиком под м/а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Промывание лакун небных миндалин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Промывание в/челюстной пазухи 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инородного тела из уха, носа, глотки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серных пробок (с одной стороны)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Вскрытие кисты небной миндалины под м/а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color w:val="FF0000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хирургия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опухоли кожи (доброкачественной) диаметром до 3 см. с наложением швов (с предоперационным лабораторным обследованием и гистологическим исследованием биоматериала)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3800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доброкачественных опухолей кожи и гипергрануляций диаметром до 1 см методом электрокоагуляции (с предоперационным лабораторным обследованием 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доброкачественных опухолей кожи и гипергрануляций диаметром более 1 см методом электрокоагуляции (с предоперационным лабораторным обследованием 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2750</w:t>
            </w:r>
          </w:p>
        </w:tc>
      </w:tr>
      <w:tr>
        <w:trPr>
          <w:trHeight w:val="28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Иссечение опухоли кожи диаметром более 3 см.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" w:ascii="Times New Roman" w:hAnsi="Times New Roman"/>
              </w:rPr>
              <w:t>(</w:t>
            </w:r>
            <w:r>
              <w:rPr>
                <w:rFonts w:cs="Times New Roman CYR" w:ascii="Times New Roman CYR" w:hAnsi="Times New Roman CYR"/>
              </w:rPr>
              <w:t>с предоперационным лабораторным обследованием и гистологическим исследованием биоматериала)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5200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гемангиомы более 1 см. (с предоперационным лабораторным обследованием)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3150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Х-20052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гемангиомы до 1 см. (с предоперационным лабораторным обследованием)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Х-20029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ногтевой пластинки без пластики ногтевого валика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17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ногтевой пластинки с пластикой ногтевого валика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4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Вскрытие панариция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1300</w:t>
            </w:r>
          </w:p>
        </w:tc>
      </w:tr>
      <w:tr>
        <w:trPr>
          <w:trHeight w:val="30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ПХО раны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инородного тела мягких тканей + ПХО раны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8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Вскрытие абсцессов, гематом</w:t>
            </w:r>
            <w:r>
              <w:rPr>
                <w:rFonts w:cs="Calibri"/>
                <w:lang w:val="en-US"/>
              </w:rPr>
              <w:t xml:space="preserve">, </w:t>
            </w:r>
            <w:r>
              <w:rPr>
                <w:rFonts w:cs="Calibri" w:ascii="Times New Roman" w:hAnsi="Times New Roman"/>
              </w:rPr>
              <w:t>атером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89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Вскрытие флегмон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73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Х-20104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Пункционно-аспирационная биопсия щитовидной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350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Х-020212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Пункционно-аспирационная биопсия молочной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350</w:t>
            </w:r>
          </w:p>
        </w:tc>
      </w:tr>
      <w:tr>
        <w:trPr>
          <w:trHeight w:val="25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 xml:space="preserve">Внутрисуставная инъекция лекарственного препарата 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6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Резекция ногтевой пластины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6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Х-20040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Резекция ногтевой пластины с пластикой ногтевого ложа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0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Х-20051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Пункция инфильтрата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Х-03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мелких образований кожи методом электрокоагуляции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Х-27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 xml:space="preserve">Склеротерапия телеангиоэктаза диаметром не более 5 см на 1 сегменте 1 конечности </w:t>
            </w:r>
          </w:p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(1 сеанс со стоимостью препарата)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Х-28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 xml:space="preserve">Склеротерапия телеангиоэктаза диаметром более 5 см на 1 сегменте 1 конечности </w:t>
            </w:r>
          </w:p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(1 сеанс со стоимостью препарата)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lang w:val="ru-RU"/>
              </w:rPr>
              <w:t>Х-05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Снятие швов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Х-04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Аноскопия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неврология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20052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Паравертебральная (периартикулярная) блокада (без стоимости препаратов)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800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урология</w:t>
            </w:r>
          </w:p>
        </w:tc>
      </w:tr>
      <w:tr>
        <w:trPr>
          <w:trHeight w:val="27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Взятие мазков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Инстилляция лекарственного средства в мочеиспускательный канал (без стоимости лекарств)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color w:val="FF0000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300</w:t>
            </w:r>
          </w:p>
        </w:tc>
      </w:tr>
      <w:tr>
        <w:trPr>
          <w:trHeight w:val="203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Массаж предстательной железы (один сеанс)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250</w:t>
            </w:r>
          </w:p>
        </w:tc>
      </w:tr>
      <w:tr>
        <w:trPr>
          <w:trHeight w:val="203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80012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Катетеризация мочевого пузыря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10014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Спермограмма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314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10025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Пробная обработка спермы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10026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МА</w:t>
            </w:r>
            <w:r>
              <w:rPr>
                <w:lang w:val="en-US"/>
              </w:rPr>
              <w:t>R-</w:t>
            </w:r>
            <w:r>
              <w:rPr>
                <w:lang w:val="ru-RU"/>
              </w:rPr>
              <w:t>Тест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10027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Морфология сперматозоидов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10028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Лейкоскрин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10029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НВА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5000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10030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Тест на криотолерантность спермы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1400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80012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Катетеризация мочевого пузыря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травматология и ортопедия</w:t>
            </w:r>
          </w:p>
        </w:tc>
      </w:tr>
      <w:tr>
        <w:trPr>
          <w:trHeight w:val="293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90005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Снятие лангетной гипсовой повязки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90008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Медикаментозная блокада (внутрисуставная инъекция без стоимости препарата)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8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90009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Внутрисуставная инъекция без стоимости препарата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8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90015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гипсовой лонгетой (кисть-предплечье)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8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90019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Гипсовая иммобилизация локтевого сустава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7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90020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U-oбразной гипсовой лонгетой или "сапожком"(стопа-голень)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8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90022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коленного сустава гипсовым тутором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8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пу-0214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Пункция сустава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гинекология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90027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Видеокольпоскопия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90028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Электрокоагуляция шейки матки под м\а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yellow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90029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Пункция заднего свода влагалища под м\а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90031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Обработка шейки матки после диатермокоагуляции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90032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Введение ВМС (ВМС пациента)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90034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Неосложненное удаление ВМС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90035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Медикаментозное лечение шейки матки</w:t>
            </w:r>
            <w:r>
              <w:rPr>
                <w:rFonts w:cs="Calibri"/>
                <w:lang w:val="en-US"/>
              </w:rPr>
              <w:t xml:space="preserve">   “</w:t>
            </w:r>
            <w:r>
              <w:rPr>
                <w:rFonts w:cs="Calibri"/>
                <w:b/>
                <w:bCs/>
                <w:lang w:val="ru-RU"/>
              </w:rPr>
              <w:t>С</w:t>
            </w:r>
            <w:r>
              <w:rPr>
                <w:rFonts w:cs="Calibri" w:ascii="Times New Roman" w:hAnsi="Times New Roman"/>
                <w:b/>
                <w:bCs/>
                <w:lang w:val="ru-RU"/>
              </w:rPr>
              <w:t>олковагином»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700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90036 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Биопсия шейки матки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90037 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или удаление влагалищного кольца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90038 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«Матери и отца» 1 занятие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90039 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«Матери и отца» 6 занятий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bookmarkStart w:id="6" w:name="__DdeLink__5394_840647335"/>
            <w:r>
              <w:rPr>
                <w:rFonts w:ascii="Times New Roman" w:hAnsi="Times New Roman"/>
              </w:rPr>
              <w:t>90040</w:t>
            </w:r>
            <w:bookmarkEnd w:id="6"/>
            <w:r>
              <w:rPr>
                <w:rFonts w:ascii="Times New Roman" w:hAnsi="Times New Roman"/>
              </w:rPr>
              <w:t xml:space="preserve"> 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Прегравидарная подготовка/ подготовка к беременности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в-7852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Взятие мазка из трех точек на флору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офтальмология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90036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Комплексное обследование органа зрения (визометрия, авторефкератометрия,  тонометрия, периметрия, осмотр глазного дна бесконтактной линзой)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1450</w:t>
            </w:r>
          </w:p>
        </w:tc>
      </w:tr>
      <w:tr>
        <w:trPr>
          <w:trHeight w:val="273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40046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Тонометрия</w:t>
            </w:r>
            <w:r>
              <w:rPr>
                <w:rFonts w:cs="Calibri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lang w:val="en-US"/>
              </w:rPr>
              <w:t xml:space="preserve">( </w:t>
            </w:r>
            <w:r>
              <w:rPr>
                <w:rFonts w:cs="Calibri" w:ascii="Times New Roman" w:hAnsi="Times New Roman"/>
              </w:rPr>
              <w:t>бесконтактная, по Маклакову)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>
          <w:rFonts w:cs="Times New Roman CYR" w:ascii="Times New Roman CYR" w:hAnsi="Times New Roman CYR"/>
          <w:b/>
          <w:bCs/>
          <w:sz w:val="24"/>
          <w:szCs w:val="24"/>
        </w:rPr>
        <w:t>Массаж</w:t>
      </w:r>
    </w:p>
    <w:tbl>
      <w:tblPr>
        <w:tblW w:w="10830" w:type="dxa"/>
        <w:jc w:val="left"/>
        <w:tblInd w:w="-22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55" w:type="dxa"/>
        </w:tblCellMar>
        <w:tblLook w:val="0000"/>
      </w:tblPr>
      <w:tblGrid>
        <w:gridCol w:w="1305"/>
        <w:gridCol w:w="8730"/>
        <w:gridCol w:w="795"/>
      </w:tblGrid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головы ( лобно-височной и затылочно - теменной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лица (лобной, окологлазничной, верхне и нижнечелюстной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шеи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воротниковой зоны (задней поверхностей шеи, спины до уровня IV грудного позвонка,передней поверхности грудной клетки до II ребра)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верхней конечности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Массаж верхней конечности, надплечья и области лопатки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плечевого сустава (верхней трети плеча, области плечевого сустава и надплечья одноименной стороны)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1-08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локтевого сустава (верхней трети предплечья, области локтевого сустава и нижней трети плеча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1-09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лучезапястного сустава (проксимального отдела кисти ,области лучезапястного сустава и предплечья)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1-010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кисти и предплечья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области грудной клетки (области передней поверхности от передних границ надплечий до реберных дуг и области спины от VII шейного до I поясничного позвонка)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спины (от VII шейного до I поясничного позвонка и от левой до правой средней аксиллярной линии; у детей включая пояснично-крестцовую область)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мышц передней брюшной стенки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пояснично-крестцовой области (от I поясничного позвонка до нижних ягодичных складок)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Сегментарный массаж пояснично-крестцовой области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спины и поясницы (от VII шейного позвонка до крестца и от левой до правой средней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шейно-грудного отдела позвоночника ( области задней поверхности шеи и области спины до I поясничного позвонка от левой до правой задней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1-018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Сегментарный массаж шейно-грудного отдела позвоночника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1-019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области позвоночника (области задней поверхности шеи, спины и пояснично-крестцовой области левой до правой задней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1-020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нижней конечности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нижней конечности и поясницы (области стопы, голени, бедра, ягодичной и пояснично- крестцовой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тазобедренного сустава (верхней трети бедра, области тазобедренного сустава и ягодичной области одноименной стороны)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коленного сустава (верхней трети голени , области коленного сустава и нижней трети бедра)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Массаж голеностопного сустава (проксимального отдела стопы, области  голеностопного сустава и нижней трети голени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стопы и голени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394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Общий массаж (взрослый)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394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Общий массаж (у детей грудного и младшего дошкольного возраста)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>
          <w:rFonts w:cs="Times New Roman CYR" w:ascii="Times New Roman CYR" w:hAnsi="Times New Roman CYR"/>
          <w:b/>
          <w:bCs/>
          <w:color w:val="000000"/>
          <w:sz w:val="24"/>
          <w:szCs w:val="24"/>
        </w:rPr>
        <w:t xml:space="preserve">  </w:t>
      </w:r>
      <w:r>
        <w:rPr>
          <w:rFonts w:cs="Times New Roman CYR" w:ascii="Times New Roman CYR" w:hAnsi="Times New Roman CYR"/>
          <w:b/>
          <w:bCs/>
          <w:color w:val="000000"/>
          <w:sz w:val="26"/>
          <w:szCs w:val="26"/>
        </w:rPr>
        <w:t>Лабораторная  диагностика</w:t>
      </w:r>
    </w:p>
    <w:p>
      <w:pPr>
        <w:pStyle w:val="Normal"/>
        <w:spacing w:lineRule="auto" w:line="240" w:before="0" w:after="0"/>
        <w:jc w:val="center"/>
        <w:rPr>
          <w:rFonts w:ascii="Times New Roman CYR" w:hAnsi="Times New Roman CYR" w:cs="Times New Roman CYR"/>
          <w:b/>
          <w:b/>
          <w:bCs/>
          <w:color w:val="000000"/>
          <w:sz w:val="26"/>
          <w:szCs w:val="26"/>
        </w:rPr>
      </w:pPr>
      <w:r>
        <w:rPr>
          <w:rFonts w:cs="Times New Roman CYR" w:ascii="Times New Roman CYR" w:hAnsi="Times New Roman CYR"/>
          <w:b/>
          <w:bCs/>
          <w:color w:val="000000"/>
          <w:sz w:val="26"/>
          <w:szCs w:val="26"/>
        </w:rPr>
      </w:r>
    </w:p>
    <w:tbl>
      <w:tblPr>
        <w:tblW w:w="10832" w:type="dxa"/>
        <w:jc w:val="left"/>
        <w:tblInd w:w="-24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40" w:type="dxa"/>
        </w:tblCellMar>
        <w:tblLook w:firstRow="0" w:noVBand="0" w:lastRow="0" w:firstColumn="0" w:lastColumn="0" w:noHBand="0" w:val="0000"/>
      </w:tblPr>
      <w:tblGrid>
        <w:gridCol w:w="1020"/>
        <w:gridCol w:w="9016"/>
        <w:gridCol w:w="735"/>
        <w:gridCol w:w="3"/>
        <w:gridCol w:w="57"/>
      </w:tblGrid>
      <w:tr>
        <w:trPr>
          <w:trHeight w:val="90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Код услуги</w:t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lang w:val="en-US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Манипуляции и процедуры</w:t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020202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Взятие крови одноразовой вакуумной системой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color w:val="000000"/>
              </w:rPr>
              <w:t>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020203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Взятие мазка из мочеполовых органов одноразовым набором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color w:val="000000"/>
              </w:rPr>
              <w:t>0</w:t>
            </w: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Л-01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Взятие мазка на посев из ЛОР-органов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Гематология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color w:val="000000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color w:val="000000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Анализ крови на гематологическом анализаторе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Подсчет лейкоцитарной формулы, определение СОЭ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Кровь на СОЭ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Гемостаз  (коагулогические исследования)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АЧТВ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Протромбиновый тест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11009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МНО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100.10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Коагулограмма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Фибриноген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42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Тромбиновое время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3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Активность системы протеина "С"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700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Определение волчаночного антикоагулянта скрининг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800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Определение волчаночного антикоагулянта подтверждение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250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Ортофенантролиновый тест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150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Антитромбин III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350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Фактор X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1000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Д-димер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500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0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sz w:val="22"/>
                <w:szCs w:val="22"/>
                <w:lang w:val="en-US"/>
              </w:rPr>
            </w:pPr>
            <w:r>
              <w:rPr>
                <w:rFonts w:cs="Calibri" w:ascii="Times New Roman" w:hAnsi="Times New Roman"/>
                <w:sz w:val="22"/>
                <w:szCs w:val="22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b/>
                <w:bCs/>
                <w:color w:val="000000"/>
                <w:sz w:val="22"/>
                <w:szCs w:val="22"/>
              </w:rPr>
              <w:t>Изосерология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Группа крови и резус фактор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крови и резус фактор фенотипирование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3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Общеклинические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Общий анализ мочи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210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Анализ мочи по Нечипоренко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Проба Зимницкого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2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Микроскопия окрашенного мазка отделяемого мочеполовых органов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2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Микроскопия мазка сока предстательной железы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Соскоб  на грибы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на демодекс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10185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Кал на яйца гельминтов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Реакция Грегерсена (кал на скрытую кровь)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Копрограмма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101106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Соскоб на энтеробиоз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309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Цитологические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8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соскоков шейки матки и цервикального канала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пунктов других органов и тканей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эндоскопического материала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Гистологическое исследование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8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биоматериала  (гистология)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2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Биохимические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белков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Общий белок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Альбумин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Креатинин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10027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Проба Реберга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Мочевина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Мочевая кислота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Специфические белки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Фруктозамин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Церуплазмин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Лактат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Гомоцистеин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Антистрептолизин-О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Ревматоидный фактор  (латекс-тест)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504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 реактивный белок (латекс-тест)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67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Белковые фракции (альбумин, альфа1-глобулин, альфа2-глобулин, бета-глобулин, гамма-глобулин), общий белок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углеводов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Гликозилированный гемоглобин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Глюкоза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1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Глюкоза-толерантный тест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липидов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Триглицериды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Холестерин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Холестерин ЛПВП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3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Липидный спектр (Триглицериды, холестерин, холестерин ЛПВП, холестерин ЛПНП, индекс атерогенности)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40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пигментов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Билирубин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5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Билирубин прямой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Ферменты</w:t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Аланинаминотрансфераза (АЛТ)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Аспартатаминотрансфераза (АСТ)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Альфа-амилаза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Гамма-глутамилтрасфераза (ГГТ)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10047.1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Кислая фосфотаза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Щелочная фосфатаза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10048.1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Липаза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Креатинкиназа (КФК)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Лактатдегидрогиназа (ЛДГ)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5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Элетролиты и микроэлементы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Кальций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Кальций ионизированный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3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bookmarkStart w:id="7" w:name="__DdeLink__4553_733459020"/>
            <w:bookmarkEnd w:id="7"/>
            <w:r>
              <w:rPr>
                <w:rFonts w:cs="Times New Roman" w:ascii="Times New Roman" w:hAnsi="Times New Roman"/>
                <w:color w:val="000000"/>
                <w:lang w:val="en-US"/>
              </w:rPr>
              <w:t>10054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Фосфор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3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Медь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Цинк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10055.1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Калий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Магний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10056.1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Натрий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Калий, натрий, хлориды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Хлориды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Селен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М-5102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Комплексный анализ крови на наличие тяжелых металлов и микроэлементов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железа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Железо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Витамин В12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Эритропоэтин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Ферритин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Трансферрин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Латентная железосвязывающая способность сыворотки (ЛЖСС)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Общая железосвязывающая способность сыворотки (ОЖСС)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В000007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25 ОН витамин </w:t>
            </w: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02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Биохимия мочи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0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10064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глюкозы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00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10065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белка в моче (суточная протеинурия)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73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10066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ацетона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542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10067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уробилиногена, билирубина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10068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амилазы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10068.1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Микроальбумин в моче (МАУ)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10068.2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фосфор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10068.3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оксалаты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10068.4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магний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10068.5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Мочевая кислота в суточной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Иммунологические исследования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 00001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Иммунограмма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(</w:t>
            </w:r>
            <w:r>
              <w:rPr>
                <w:rFonts w:cs="Times New Roman CYR" w:ascii="Times New Roman CYR" w:hAnsi="Times New Roman CYR"/>
                <w:color w:val="000000"/>
              </w:rPr>
              <w:t>CD-типирование лимфоцитов, ОАК, IgA, IgM, IgG)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 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1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6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8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двустпиральной нативной ДНК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Антитела к глиадину </w:t>
            </w:r>
            <w:r>
              <w:rPr>
                <w:rFonts w:ascii="Times New Roman" w:hAnsi="Times New Roman"/>
                <w:lang w:val="en-US"/>
              </w:rPr>
              <w:t>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Антитела к глиадину </w:t>
            </w:r>
            <w:r>
              <w:rPr>
                <w:rFonts w:ascii="Times New Roman" w:hAnsi="Times New Roman"/>
                <w:lang w:val="en-US"/>
              </w:rPr>
              <w:t>Ig</w:t>
            </w:r>
            <w:r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С3 компонент комплимента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С4 компонент комплимента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Интерфероновый статус (сывороточный интерферон, спонанный интерферон, исследование аутоиммунных антител)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71.6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АТ к микросомам печени и почек (анти </w:t>
            </w:r>
            <w:r>
              <w:rPr>
                <w:rFonts w:ascii="Times New Roman" w:hAnsi="Times New Roman"/>
                <w:lang w:val="en-US"/>
              </w:rPr>
              <w:t>LKM)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71.9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рецепторам тиреотропного гормона (АТрТТГ)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Фаготест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Антинуклерный фактор на клеточной линии (АНФ)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Антинуклеарные антитела, иммуноблот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гладким мышцам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антигенам печени, иммуноблот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324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тканевой трансглутаминазе, I</w:t>
            </w:r>
            <w:r>
              <w:rPr>
                <w:rFonts w:ascii="Times New Roman" w:hAnsi="Times New Roman"/>
                <w:lang w:val="en-US"/>
              </w:rPr>
              <w:t>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тканевой трансглутаминазе, I</w:t>
            </w:r>
            <w:r>
              <w:rPr>
                <w:rFonts w:ascii="Times New Roman" w:hAnsi="Times New Roman"/>
                <w:lang w:val="en-US"/>
              </w:rPr>
              <w:t>gM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>72.</w:t>
            </w: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островковым клеткам (ГСА)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ru-RU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72.10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инсулину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ru-RU"/>
              </w:rPr>
              <w:t>650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И-1002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Индекс </w:t>
            </w:r>
            <w:r>
              <w:rPr>
                <w:lang w:val="en-US"/>
              </w:rPr>
              <w:t>HOMA (</w:t>
            </w:r>
            <w:r>
              <w:rPr>
                <w:lang w:val="ru-RU"/>
              </w:rPr>
              <w:t xml:space="preserve">резистентность к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Циркулирующие иммунные комплексы (ЦИК)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тирео-пероксидазе  (ТПО)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45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тиреоглобулину (ТГ)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ревматоидного артрита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циклическому цитруллиновому пептиду (АССР, anti-ССР)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цитруллированному виментину (anti-MCV)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Антикератиновые антитела (АКА)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системных ревматоидных заболеваний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ядерным антигенам (ANA)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3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других аутоиммунных состояний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фосфолипидам (кардиолипину, фосфатидилсерину, фосфатидилинозитолу, фосфатидиловой кислоте), суммарны</w:t>
            </w:r>
            <w:r>
              <w:rPr>
                <w:rFonts w:cs="Times New Roman CYR" w:ascii="Times New Roman" w:hAnsi="Times New Roman"/>
                <w:color w:val="000000"/>
              </w:rPr>
              <w:t>е</w:t>
            </w:r>
            <w:r>
              <w:rPr>
                <w:rFonts w:cs="Calibri" w:ascii="Times New Roman" w:hAnsi="Times New Roman"/>
                <w:color w:val="000000"/>
              </w:rPr>
              <w:t xml:space="preserve"> (АФС)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 митохондриям (АМА)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Антинейтрофильные цитоплазматические антитела (ANCA)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 бета2-гликопротеину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Антителав к тромбоцитам , 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Витамины, жирные кислоты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10308.1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10309.1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1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10310.1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Витамин В 5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10311.1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6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10312.1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9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Гормональные исследования</w:t>
            </w:r>
          </w:p>
        </w:tc>
      </w:tr>
      <w:tr>
        <w:trPr>
          <w:trHeight w:val="28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Щитовидная железа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 3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Т4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ТТГ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Тиреоглобулин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Паращитовидная железа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В100005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Паратиреоидный 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Половые гормоны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Лютеинизирующий гормон (ЛГ)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Фолликулостимулирующий гормон (ФСГ)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Пролактин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10091.1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Макропролактин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Прогестерон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Эстрадиол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Тестостерон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ХГЧ (хорионический гонадотропин)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370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Тестостерон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 000009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Дегидротестостерон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17 </w:t>
            </w:r>
            <w:r>
              <w:rPr>
                <w:rFonts w:cs="Times New Roman CYR" w:ascii="Times New Roman CYR" w:hAnsi="Times New Roman CYR"/>
                <w:color w:val="000000"/>
              </w:rPr>
              <w:t>ОН прогестерон (гидроксипрогестерон)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Андростендион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Глобулин, связывающий половые гормоны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(ГСПГ)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РРАР-А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Эстриол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Свободный b-ХГЧ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Антимюллеров 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И-1002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Индекс </w:t>
            </w:r>
            <w:r>
              <w:rPr>
                <w:rFonts w:ascii="Times New Roman" w:hAnsi="Times New Roman"/>
                <w:lang w:val="en-US"/>
              </w:rPr>
              <w:t>HOMA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Надпочечники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Кортизол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Дегидроэпианростерон-сульфат (ДГЭА-С)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АКТГ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Катехоламины  крови (адреналин, норадреналин, дофами)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Соматотропный гормон роста (СТГ)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Ренин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bCs w:val="false"/>
              </w:rPr>
              <w:t>10106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bCs w:val="false"/>
              </w:rPr>
              <w:t>Лептин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Альдостерон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lang w:val="en-US"/>
              </w:rPr>
              <w:t>Д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  <w:lang w:val="ru-RU"/>
              </w:rPr>
              <w:t>ругие гормоны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С-пептид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Инсулин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10110.1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Гастрин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10110.2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Соматомедин (ИФР-1)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г-1021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NT-proBNP(</w:t>
            </w:r>
            <w:r>
              <w:rPr>
                <w:lang w:val="ru-RU"/>
              </w:rPr>
              <w:t>пропептид натрийуретического гормона)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Маркеры остеопороза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Паратгормон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Кальцитонин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Остеокальцин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Маркеры опухолевого роста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ПСА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СА-125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ПСА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СА15-3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19-9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РЭА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Альфафетопротеин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72-4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242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SCCA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Опухолевый маркер НЕ-4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1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Прогностическая вероятность (значение ROMA) включает определение СА125 и опухолевого маркера НЕ4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Фрагмент цитокератина 19 (Cyfra 21-1)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Нейроспецифическая енолаза (NSE)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Бета-2 микроглобулин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10127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Белок </w:t>
            </w:r>
            <w:r>
              <w:rPr>
                <w:rFonts w:ascii="Times New Roman" w:hAnsi="Times New Roman"/>
                <w:lang w:val="en-US"/>
              </w:rPr>
              <w:t>S-100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Серологические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Противовирусные антитела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цитомегаловирусу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цитомегаловирусу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к цитомегаловирусу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краснухи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166.1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к вирусу краснухи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краснухи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простого герпеса Iтипа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простого герпеса II типа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167.7.1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вирусу простого герпеса 1 и 2 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Антитела к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ВИЧ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  <w:lang w:val="ru-RU"/>
              </w:rPr>
            </w:pPr>
            <w:r>
              <w:rPr>
                <w:rFonts w:cs="Times New Roman CYR" w:ascii="Times New Roman CYR" w:hAnsi="Times New Roman CYR"/>
                <w:color w:val="000000"/>
                <w:lang w:val="ru-RU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 кори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Исследования крови на брюшной тиф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Исследование крови на бруцеллез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а-1201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bookmarkStart w:id="8" w:name="__DdeLink__16589_1574968412"/>
            <w:r>
              <w:rPr>
                <w:rFonts w:ascii="Times New Roman" w:hAnsi="Times New Roman"/>
              </w:rPr>
              <w:t xml:space="preserve">Антитела к бруцелле </w:t>
            </w:r>
            <w:r>
              <w:rPr>
                <w:rFonts w:ascii="Times New Roman" w:hAnsi="Times New Roman"/>
                <w:lang w:val="en-US"/>
              </w:rPr>
              <w:t>Ig.</w:t>
            </w:r>
            <w:bookmarkEnd w:id="8"/>
            <w:r>
              <w:rPr>
                <w:rFonts w:ascii="Times New Roman" w:hAnsi="Times New Roman"/>
                <w:lang w:val="en-US"/>
              </w:rPr>
              <w:t>A. (</w:t>
            </w:r>
            <w:r>
              <w:rPr>
                <w:rFonts w:ascii="Times New Roman" w:hAnsi="Times New Roman"/>
                <w:lang w:val="ru-RU"/>
              </w:rPr>
              <w:t>получколичественный)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а-1202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Антитела к бруцелле </w:t>
            </w:r>
            <w:r>
              <w:rPr>
                <w:rFonts w:ascii="Times New Roman" w:hAnsi="Times New Roman"/>
                <w:lang w:val="en-US"/>
              </w:rPr>
              <w:t>Ig.G</w:t>
            </w:r>
            <w:r>
              <w:rPr>
                <w:rFonts w:ascii="Times New Roman" w:hAnsi="Times New Roman"/>
                <w:lang w:val="ru-RU"/>
              </w:rPr>
              <w:t>.</w:t>
            </w:r>
            <w:r>
              <w:rPr>
                <w:rFonts w:ascii="Times New Roman" w:hAnsi="Times New Roman"/>
                <w:lang w:val="en-US"/>
              </w:rPr>
              <w:t xml:space="preserve"> (</w:t>
            </w:r>
            <w:r>
              <w:rPr>
                <w:rFonts w:ascii="Times New Roman" w:hAnsi="Times New Roman"/>
                <w:lang w:val="ru-RU"/>
              </w:rPr>
              <w:t>качественный)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сифилиса</w:t>
            </w:r>
          </w:p>
        </w:tc>
      </w:tr>
      <w:tr>
        <w:trPr>
          <w:trHeight w:val="35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Экспресс метод Luews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Суммарные антитела к Treponema pallidum ИФА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Бактериальные антитела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Chlamydia trachomatis IgA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Chlamydia trachomatis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Helicobacter pilori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Антитела к простейшим, паразитам и грибам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6101157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Toxoplasma gondii Ig</w:t>
            </w:r>
            <w:r>
              <w:rPr>
                <w:rFonts w:cs="Times New Roman CYR" w:ascii="Times New Roman CYR" w:hAnsi="Times New Roman CYR"/>
                <w:color w:val="000000"/>
              </w:rPr>
              <w:t>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6101156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Toxoplasma gondii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167.5.1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Определение индекса авидности антител к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 xml:space="preserve">Toxoplasma gondii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Mycoplasma hominis IgA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 Mycoplasma hominis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 urealyticum Ig 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 urealyticum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Trichomonas vaginalis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лямблиям, суммарные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гельминтам (токсокары, трихинеллы,  описторхис, эхинококк)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антигенам аскарид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В10158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антигенам  Trichinell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Toxocara canis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Opistorhisis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Echinococcus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ПЦР-диагностика</w:t>
            </w:r>
          </w:p>
        </w:tc>
      </w:tr>
      <w:tr>
        <w:trPr>
          <w:trHeight w:val="299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1011183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А</w:t>
            </w:r>
            <w:r>
              <w:rPr>
                <w:rFonts w:cs="Calibri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ДНК вируса гепатита В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43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С, генотипирование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ДНК вируса гепатита В, количественно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С, количественно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D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G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вируса Эпштейн-Барра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>Обнаружение вируса простого герпеса I,II типа</w:t>
            </w:r>
            <w:r>
              <w:rPr>
                <w:rFonts w:cs="Calibri" w:ascii="Times New Roman" w:hAnsi="Times New Roman"/>
                <w:color w:val="000000"/>
              </w:rPr>
              <w:t xml:space="preserve">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>Обнаружение цитомегаловируса</w:t>
            </w:r>
            <w:r>
              <w:rPr>
                <w:rFonts w:cs="Calibri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6/11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16/18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31/33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45/35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52/58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39/59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HPV </w:t>
            </w:r>
            <w:r>
              <w:rPr>
                <w:rFonts w:cs="Times New Roman CYR" w:ascii="Times New Roman CYR" w:hAnsi="Times New Roman CYR"/>
                <w:color w:val="000000"/>
              </w:rPr>
              <w:t>онкоскрин (6/11,16/18,31/33,52/58,45/35,39/59)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Chlamydia trachomatis ( 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Mycoplasma hominis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Mycoplasma genitalium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Ureaplasma urealyticum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Neisseria gonorrhoeae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Gardnerella  vaginalis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Trichomoas vaginalis 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Candida albicans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377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ВПЧ расширенный скрининг (15+ КВМ) ДНК (кол.)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13.24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ДНК папилломавирусов  16/18 типов  с определением типа (колличественный)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13.23.4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ДНК папилломавирусов  31/33 типов с определением типа (колличественный)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К-3003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 на фекальный кальпротеин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Бактериологические исследования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на микрофлору (идентификация агента и чувствительность к антибиотику)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Бак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>.</w:t>
            </w:r>
            <w:r>
              <w:rPr>
                <w:rFonts w:cs="Times New Roman CYR" w:ascii="Times New Roman CYR" w:hAnsi="Times New Roman CYR"/>
                <w:color w:val="000000"/>
              </w:rPr>
              <w:t>посев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на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Mycoplasma </w:t>
            </w:r>
            <w:r>
              <w:rPr>
                <w:rFonts w:cs="Times New Roman CYR" w:ascii="Times New Roman CYR" w:hAnsi="Times New Roman CYR"/>
                <w:color w:val="000000"/>
              </w:rPr>
              <w:t>и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мочи с идентификацией культур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Бак.посев на дисбактериоз кишечника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отделяемого слизистой носа и зева на наличие возбудителя дифтерии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П-2102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Мазок из зева на стафилококк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Мазок из носа на стафилококк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Посев на кишечную  группу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Определение маркеров вирусных гепатитов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вирусу гепатита А IgM (anti -HAV)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  <w:highlight w:val="white"/>
              </w:rPr>
            </w:pPr>
            <w:r>
              <w:rPr>
                <w:rFonts w:cs="Times New Roman CYR" w:ascii="Times New Roman" w:hAnsi="Times New Roman"/>
                <w:color w:val="000000"/>
                <w:highlight w:val="white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вирусу гепатита А IgG (anti -HAV)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Поверхностный антиген вируса гепатита B (HBsAg)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 к поверхностному антигену вируса гепатита В (Anti-HBs)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ядерному (cor) антигену вируса гепатита В суммарные (Anti-HBc)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ядерному (cor) антигену вируса гепатита В IgM (Anti-HBcIgM)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Антиген Hbeвируса гепатита В (Hbe Ag)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Hbeантигену  вируса гепатита В , суммарные (anti-Hbe)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гепатита С , суммарные (Anti-HCV)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 xml:space="preserve">Антитела к вирусу гепатита С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 xml:space="preserve"> ,  (Anti-HCV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>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  <w:lang w:val="en-US"/>
              </w:rPr>
              <w:t>Антитела к вирусу гепатита D,  (Anti-HDV)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 xml:space="preserve">Антитела к вирусу гепатита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D</w:t>
            </w:r>
            <w:r>
              <w:rPr>
                <w:rFonts w:cs="Times New Roman CYR" w:ascii="Times New Roman" w:hAnsi="Times New Roman"/>
                <w:color w:val="000000"/>
              </w:rPr>
              <w:t xml:space="preserve">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 xml:space="preserve">   (Anti-H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D</w:t>
            </w:r>
            <w:r>
              <w:rPr>
                <w:rFonts w:cs="Times New Roman CYR" w:ascii="Times New Roman" w:hAnsi="Times New Roman"/>
                <w:color w:val="000000"/>
              </w:rPr>
              <w:t xml:space="preserve">V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>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Антитела к вирусу гепатита 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Диагностика синдрома Жильбера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Антиген системы гистосовместимости </w:t>
            </w:r>
            <w:r>
              <w:rPr>
                <w:rFonts w:ascii="Times New Roman" w:hAnsi="Times New Roman"/>
                <w:lang w:val="en-US"/>
              </w:rPr>
              <w:t xml:space="preserve">HLA B27 </w:t>
            </w:r>
            <w:r>
              <w:rPr>
                <w:rFonts w:ascii="Times New Roman" w:hAnsi="Times New Roman"/>
                <w:lang w:val="ru-RU"/>
              </w:rPr>
              <w:t>(болезнь Бехтерева)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Аллергологические исследования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  <w:highlight w:val="green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highlight w:val="green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 xml:space="preserve">Определение специфических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  <w:lang w:val="en-US"/>
              </w:rPr>
              <w:t>IgE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 xml:space="preserve">I. </w:t>
            </w:r>
            <w:r>
              <w:rPr>
                <w:rFonts w:ascii="Times New Roman" w:hAnsi="Times New Roman"/>
                <w:lang w:val="ru-RU"/>
              </w:rPr>
              <w:t xml:space="preserve">Комплексные аллергопанели.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деревьев (клен ясенелистый, береза, дуб, вяз, грецкий орех)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67.1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деревьев (ольха, лещина обыкн., вяз, ива белая, тополь)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сорных растений и цветов (амброзия западная, полынь обыкн., подорожник, марь белая)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домашней пыли (дом. пыль (greeer), dermatophagoides pteronyssinus, dermatophagoides farinae, таракан-пруссак/Dus)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клещевых аллергенов (клещ-дерматофаг перинный, клещ-дерматофаг мучной, dermatophagoides microceras, lepidogly)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домашних животных (эпителий кошки, перхоть лошади, перхоть коровы, перхоть собаки/Animal Panel 1 (е1, е3, е4, е5)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грибов (penicillium notatum, cladosporium herbarum, aspergillus fumigatus)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пищевых аллергенов (треска, креветки, мидии, тунец, лосось)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 xml:space="preserve">II. </w:t>
            </w:r>
            <w:r>
              <w:rPr>
                <w:rFonts w:ascii="Times New Roman" w:hAnsi="Times New Roman"/>
                <w:lang w:val="ru-RU"/>
              </w:rPr>
              <w:t xml:space="preserve">Специфические антитела </w:t>
            </w: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  <w:lang w:val="en-US"/>
              </w:rPr>
              <w:t xml:space="preserve">IgE </w:t>
            </w: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  <w:lang w:val="ru-RU"/>
              </w:rPr>
              <w:t>к индивидуальным аллергенам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1. Аллергены деревьев: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Тополь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bookmarkStart w:id="9" w:name="__DdeLink__5232_2667415847"/>
            <w:bookmarkEnd w:id="9"/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Ясень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Береза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2. Аллергены трав: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Амброзия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Полынь горькая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3. Аллергены клещей: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Dermatophagoides farinae/Dermatophagoides farinae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Аллерген Derma.pteronyssinus/Dermatophagoides pteronyssinus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4. Аллергены грибов и плесени: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Aspergillus niger/Aspergillus niger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Cladosporium herbarum/Cladosporium herbarum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5. Аллергены лекарств: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bookmarkStart w:id="10" w:name="__DdeLink__4951_2810365276"/>
            <w:bookmarkEnd w:id="10"/>
            <w:r>
              <w:rPr>
                <w:rFonts w:ascii="Times New Roman" w:hAnsi="Times New Roman"/>
              </w:rPr>
              <w:t>Аи 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Penicillium notatum/Penicillium notatum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Cephalosporium Acremonium/Cephalosporium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ru-RU"/>
              </w:rPr>
              <w:t>«Д» учет беременной при физиологическом течении беременности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17440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6130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III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14770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Итого I, II, III триместры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38340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Мед. осмотры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55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Медосмотр на право управления транспортными средствами  кат. В, без заключения психиатра и нарколога.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на право управления транспортными средствами (категория С), без заключения психиатра и нарколога.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1980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  <w:lang w:val="en-US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на право ношения оружия (справка 002 о/у) без заключения психиатра, нарколога, ХТИ.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 xml:space="preserve">для судоводителей маломерных судов, без заключения психиатра и нарколога.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периодический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(мужчины),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1490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периодический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(женщины),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1990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 xml:space="preserve">Медосмотр декретированных групп  (с мед.книжкой) 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предварительный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 xml:space="preserve"> (женщины).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3140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67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предварительный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мужч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ины),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</w:t>
            </w:r>
            <w:r>
              <w:rPr>
                <w:b/>
                <w:bCs/>
                <w:lang w:val="ru-RU"/>
              </w:rPr>
              <w:t>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2640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стоматолога. (мужчины)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3260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 стоматолога. (женщины)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3760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 стоматолога. (женщины после 40 л)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4260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 - форма 086/у ,без заключения психиатра и нарколога, фтизиатра.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1050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Оформление санаторно-курортной карты (мужчины)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Оформление санаторно-курортной карты (женщины)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* Цены на лабораторную диагностику указаны без учета стоимости взятия крови и взятия мазков.</w:t>
      </w:r>
    </w:p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Если Вы не нашли нужную Вам услугу,  необходимо обратиться к администратору поликлиники</w:t>
      </w:r>
    </w:p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по тел: 8 (844-57) 9</w:t>
      </w:r>
      <w:r>
        <w:rPr>
          <w:rFonts w:cs="Times New Roman CYR" w:ascii="Times New Roman CYR" w:hAnsi="Times New Roman CYR"/>
          <w:b/>
          <w:bCs/>
          <w:color w:val="000000"/>
          <w:sz w:val="30"/>
          <w:szCs w:val="30"/>
        </w:rPr>
        <w:t>-</w:t>
      </w:r>
      <w:r>
        <w:rPr>
          <w:rFonts w:cs="Times New Roman CYR" w:ascii="Times New Roman CYR" w:hAnsi="Times New Roman CYR"/>
          <w:b/>
          <w:bCs/>
          <w:color w:val="000000"/>
        </w:rPr>
        <w:t>03-03.    Не является публичной офертой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Helvetica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e7292"/>
    <w:pPr>
      <w:widowControl/>
      <w:bidi w:val="0"/>
      <w:spacing w:lineRule="auto" w:line="276" w:before="0" w:after="200"/>
      <w:jc w:val="left"/>
    </w:pPr>
    <w:rPr>
      <w:rFonts w:ascii="Calibri" w:hAnsi="Calibri" w:eastAsia="" w:cs=""/>
      <w:color w:val="00000A"/>
      <w:kern w:val="0"/>
      <w:sz w:val="22"/>
      <w:szCs w:val="22"/>
      <w:lang w:val="ru-RU" w:eastAsia="ru-RU" w:bidi="ar-SA"/>
    </w:rPr>
  </w:style>
  <w:style w:type="paragraph" w:styleId="1">
    <w:name w:val="Heading 1"/>
    <w:basedOn w:val="Style20"/>
    <w:qFormat/>
    <w:pPr>
      <w:outlineLvl w:val="0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uiPriority w:val="99"/>
    <w:semiHidden/>
    <w:qFormat/>
    <w:rsid w:val="005a198e"/>
    <w:rPr>
      <w:rFonts w:ascii="Tahoma" w:hAnsi="Tahoma" w:cs="Tahoma"/>
      <w:sz w:val="16"/>
      <w:szCs w:val="16"/>
    </w:rPr>
  </w:style>
  <w:style w:type="character" w:styleId="ListLabel1" w:customStyle="1">
    <w:name w:val="ListLabel 1"/>
    <w:qFormat/>
    <w:rPr>
      <w:rFonts w:ascii="Calibri" w:hAnsi="Calibri" w:cs="Symbol"/>
    </w:rPr>
  </w:style>
  <w:style w:type="character" w:styleId="Style14" w:customStyle="1">
    <w:name w:val="Интернет-ссылка"/>
    <w:rPr>
      <w:rFonts w:cs="Times New Roman"/>
      <w:color w:val="0000FF"/>
      <w:u w:val="single"/>
    </w:rPr>
  </w:style>
  <w:style w:type="character" w:styleId="ListLabel2" w:customStyle="1">
    <w:name w:val="ListLabel 2"/>
    <w:qFormat/>
    <w:rPr>
      <w:rFonts w:ascii="Calibri" w:hAnsi="Calibri" w:cs="Symbol"/>
    </w:rPr>
  </w:style>
  <w:style w:type="character" w:styleId="ListLabel3" w:customStyle="1">
    <w:name w:val="ListLabel 3"/>
    <w:qFormat/>
    <w:rPr>
      <w:rFonts w:ascii="Calibri" w:hAnsi="Calibri" w:cs="Symbol"/>
    </w:rPr>
  </w:style>
  <w:style w:type="character" w:styleId="ListLabel4" w:customStyle="1">
    <w:name w:val="ListLabel 4"/>
    <w:qFormat/>
    <w:rPr>
      <w:rFonts w:ascii="Calibri" w:hAnsi="Calibri" w:cs="Symbol"/>
    </w:rPr>
  </w:style>
  <w:style w:type="character" w:styleId="ListLabel5" w:customStyle="1">
    <w:name w:val="ListLabel 5"/>
    <w:qFormat/>
    <w:rPr>
      <w:rFonts w:ascii="Calibri" w:hAnsi="Calibri" w:cs="Symbol"/>
    </w:rPr>
  </w:style>
  <w:style w:type="character" w:styleId="ListLabel6" w:customStyle="1">
    <w:name w:val="ListLabel 6"/>
    <w:qFormat/>
    <w:rPr>
      <w:rFonts w:ascii="Calibri" w:hAnsi="Calibri" w:cs="Symbol"/>
    </w:rPr>
  </w:style>
  <w:style w:type="character" w:styleId="ListLabel7" w:customStyle="1">
    <w:name w:val="ListLabel 7"/>
    <w:qFormat/>
    <w:rPr>
      <w:rFonts w:ascii="Calibri" w:hAnsi="Calibri" w:cs="Symbol"/>
    </w:rPr>
  </w:style>
  <w:style w:type="character" w:styleId="ListLabel8" w:customStyle="1">
    <w:name w:val="ListLabel 8"/>
    <w:qFormat/>
    <w:rPr>
      <w:rFonts w:ascii="Calibri" w:hAnsi="Calibri" w:cs="Symbol"/>
    </w:rPr>
  </w:style>
  <w:style w:type="character" w:styleId="ListLabel9" w:customStyle="1">
    <w:name w:val="ListLabel 9"/>
    <w:qFormat/>
    <w:rPr>
      <w:rFonts w:ascii="Calibri" w:hAnsi="Calibri" w:cs="Symbol"/>
    </w:rPr>
  </w:style>
  <w:style w:type="character" w:styleId="ListLabel10" w:customStyle="1">
    <w:name w:val="ListLabel 10"/>
    <w:qFormat/>
    <w:rPr>
      <w:rFonts w:ascii="Calibri" w:hAnsi="Calibri" w:cs="Symbol"/>
    </w:rPr>
  </w:style>
  <w:style w:type="character" w:styleId="ListLabel11" w:customStyle="1">
    <w:name w:val="ListLabel 11"/>
    <w:qFormat/>
    <w:rPr>
      <w:rFonts w:ascii="Calibri" w:hAnsi="Calibri" w:cs="Symbol"/>
    </w:rPr>
  </w:style>
  <w:style w:type="character" w:styleId="ListLabel12" w:customStyle="1">
    <w:name w:val="ListLabel 12"/>
    <w:qFormat/>
    <w:rPr>
      <w:rFonts w:ascii="Calibri" w:hAnsi="Calibri" w:cs="Symbol"/>
    </w:rPr>
  </w:style>
  <w:style w:type="character" w:styleId="ListLabel13" w:customStyle="1">
    <w:name w:val="ListLabel 13"/>
    <w:qFormat/>
    <w:rPr>
      <w:rFonts w:ascii="Calibri" w:hAnsi="Calibri" w:cs="Symbol"/>
    </w:rPr>
  </w:style>
  <w:style w:type="character" w:styleId="ListLabel14" w:customStyle="1">
    <w:name w:val="ListLabel 14"/>
    <w:qFormat/>
    <w:rPr>
      <w:rFonts w:ascii="Calibri" w:hAnsi="Calibri" w:cs="Symbol"/>
    </w:rPr>
  </w:style>
  <w:style w:type="character" w:styleId="ListLabel15" w:customStyle="1">
    <w:name w:val="ListLabel 15"/>
    <w:qFormat/>
    <w:rPr>
      <w:rFonts w:ascii="Calibri" w:hAnsi="Calibri" w:cs="Symbol"/>
    </w:rPr>
  </w:style>
  <w:style w:type="character" w:styleId="ListLabel16" w:customStyle="1">
    <w:name w:val="ListLabel 16"/>
    <w:qFormat/>
    <w:rPr>
      <w:rFonts w:ascii="Calibri" w:hAnsi="Calibri" w:cs="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Title"/>
    <w:basedOn w:val="Normal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uiPriority w:val="99"/>
    <w:semiHidden/>
    <w:unhideWhenUsed/>
    <w:qFormat/>
    <w:rsid w:val="005a198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 w:customStyle="1">
    <w:name w:val="Содержимое таблицы"/>
    <w:basedOn w:val="Normal"/>
    <w:qFormat/>
    <w:pPr>
      <w:suppressLineNumbers/>
    </w:pPr>
    <w:rPr/>
  </w:style>
  <w:style w:type="paragraph" w:styleId="2" w:customStyle="1">
    <w:name w:val="Стиль таблицы 2"/>
    <w:qFormat/>
    <w:pPr>
      <w:widowControl/>
      <w:bidi w:val="0"/>
      <w:spacing w:lineRule="auto" w:line="276"/>
      <w:jc w:val="left"/>
    </w:pPr>
    <w:rPr>
      <w:rFonts w:ascii="Helvetica" w:hAnsi="Helvetica" w:eastAsia="Arial Unicode MS" w:cs="Arial Unicode MS"/>
      <w:color w:val="000000"/>
      <w:kern w:val="0"/>
      <w:sz w:val="24"/>
      <w:szCs w:val="20"/>
      <w:lang w:val="ru-RU" w:eastAsia="ru-RU" w:bidi="ar-SA"/>
    </w:rPr>
  </w:style>
  <w:style w:type="paragraph" w:styleId="Style22" w:customStyle="1">
    <w:name w:val="Текстовый блок"/>
    <w:qFormat/>
    <w:pPr>
      <w:widowControl/>
      <w:bidi w:val="0"/>
      <w:spacing w:lineRule="auto" w:line="276"/>
      <w:jc w:val="left"/>
    </w:pPr>
    <w:rPr>
      <w:rFonts w:ascii="Times New Roman" w:hAnsi="Times New Roman" w:eastAsia="Arial Unicode MS" w:cs="Arial Unicode MS"/>
      <w:color w:val="000000"/>
      <w:kern w:val="0"/>
      <w:sz w:val="24"/>
      <w:szCs w:val="24"/>
      <w:lang w:val="ru-RU" w:eastAsia="ru-RU" w:bidi="ar-SA"/>
    </w:rPr>
  </w:style>
  <w:style w:type="paragraph" w:styleId="Style23" w:customStyle="1">
    <w:name w:val="Заголовок таблицы"/>
    <w:basedOn w:val="Style2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2F903-A618-4278-BC11-543E7EB0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1564</TotalTime>
  <Application>LibreOffice/5.4.2.2$Windows_X86_64 LibreOffice_project/22b09f6418e8c2d508a9eaf86b2399209b0990f4</Application>
  <Pages>15</Pages>
  <Words>4172</Words>
  <Characters>27208</Characters>
  <CharactersWithSpaces>30084</CharactersWithSpaces>
  <Paragraphs>1736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2017-11-02T11:47:00Z</dcterms:created>
  <dc:creator>Andrey_Marina</dc:creator>
  <dc:description/>
  <dc:language>ru-RU</dc:language>
  <cp:lastModifiedBy/>
  <cp:lastPrinted>2020-02-26T09:09:18Z</cp:lastPrinted>
  <dcterms:modified xsi:type="dcterms:W3CDTF">2020-05-20T15:12:56Z</dcterms:modified>
  <cp:revision>74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